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183" w:rsidRPr="00B45C11" w:rsidRDefault="0007080E" w:rsidP="004B6183">
      <w:pPr>
        <w:autoSpaceDE w:val="0"/>
        <w:autoSpaceDN w:val="0"/>
        <w:adjustRightInd w:val="0"/>
        <w:jc w:val="center"/>
        <w:rPr>
          <w:rFonts w:ascii="TimesNewRomanPSMT" w:hAnsi="TimesNewRomanPSMT" w:cs="TimesNewRomanPSMT"/>
          <w:b/>
        </w:rPr>
      </w:pPr>
      <w:r>
        <w:rPr>
          <w:rFonts w:ascii="TimesNewRomanPSMT" w:hAnsi="TimesNewRomanPSMT" w:cs="TimesNewRomanPSMT"/>
          <w:b/>
        </w:rPr>
        <w:t>SİNANPAŞA</w:t>
      </w:r>
      <w:r w:rsidR="004B6183" w:rsidRPr="00B45C11">
        <w:rPr>
          <w:rFonts w:ascii="TimesNewRomanPSMT" w:hAnsi="TimesNewRomanPSMT" w:cs="TimesNewRomanPSMT"/>
          <w:b/>
        </w:rPr>
        <w:t xml:space="preserve"> KAYMAKAMLIĞI</w:t>
      </w:r>
    </w:p>
    <w:p w:rsidR="004B6183" w:rsidRPr="00B45C11" w:rsidRDefault="004B6183" w:rsidP="004B6183">
      <w:pPr>
        <w:autoSpaceDE w:val="0"/>
        <w:autoSpaceDN w:val="0"/>
        <w:adjustRightInd w:val="0"/>
        <w:jc w:val="center"/>
        <w:rPr>
          <w:rFonts w:ascii="TimesNewRomanPSMT" w:hAnsi="TimesNewRomanPSMT" w:cs="TimesNewRomanPSMT"/>
          <w:b/>
        </w:rPr>
      </w:pPr>
      <w:r w:rsidRPr="00B45C11">
        <w:rPr>
          <w:rFonts w:ascii="TimesNewRomanPSMT" w:hAnsi="TimesNewRomanPSMT" w:cs="TimesNewRomanPSMT"/>
          <w:b/>
        </w:rPr>
        <w:t>(Tüketici Hakem Heyeti Başkanlığına)</w:t>
      </w:r>
    </w:p>
    <w:p w:rsidR="004B6183" w:rsidRPr="001B30D8" w:rsidRDefault="004B6183" w:rsidP="004B6183">
      <w:pPr>
        <w:autoSpaceDE w:val="0"/>
        <w:autoSpaceDN w:val="0"/>
        <w:adjustRightInd w:val="0"/>
        <w:jc w:val="center"/>
        <w:rPr>
          <w:rFonts w:ascii="TimesNewRomanPSMT" w:hAnsi="TimesNewRomanPSMT" w:cs="TimesNewRomanPSMT"/>
        </w:rPr>
      </w:pPr>
      <w:r w:rsidRPr="00B45C11">
        <w:rPr>
          <w:rFonts w:ascii="TimesNewRomanPSMT" w:hAnsi="TimesNewRomanPSMT" w:cs="TimesNewRomanPSMT"/>
          <w:b/>
        </w:rPr>
        <w:t xml:space="preserve">                                      </w:t>
      </w:r>
      <w:r w:rsidR="00B703F5">
        <w:rPr>
          <w:rFonts w:ascii="TimesNewRomanPSMT" w:hAnsi="TimesNewRomanPSMT" w:cs="TimesNewRomanPSMT"/>
          <w:b/>
        </w:rPr>
        <w:t xml:space="preserve"> </w:t>
      </w:r>
    </w:p>
    <w:p w:rsidR="004B6183" w:rsidRPr="007F2EBB" w:rsidRDefault="004B6183" w:rsidP="004B6183">
      <w:pPr>
        <w:autoSpaceDE w:val="0"/>
        <w:autoSpaceDN w:val="0"/>
        <w:adjustRightInd w:val="0"/>
        <w:spacing w:before="100" w:after="100"/>
        <w:jc w:val="both"/>
        <w:rPr>
          <w:rFonts w:ascii="Arial" w:hAnsi="Arial" w:cs="Arial"/>
        </w:rPr>
      </w:pPr>
      <w:r w:rsidRPr="007F2EBB">
        <w:rPr>
          <w:rFonts w:ascii="Arial" w:hAnsi="Arial" w:cs="Arial"/>
          <w:b/>
          <w:iCs/>
        </w:rPr>
        <w:t xml:space="preserve">Şikâyet Eden </w:t>
      </w:r>
      <w:r w:rsidRPr="007F2EBB">
        <w:rPr>
          <w:rFonts w:ascii="Arial" w:hAnsi="Arial" w:cs="Arial"/>
          <w:b/>
          <w:iCs/>
        </w:rPr>
        <w:tab/>
      </w:r>
      <w:r w:rsidRPr="007F2EBB">
        <w:rPr>
          <w:rFonts w:ascii="Arial" w:hAnsi="Arial" w:cs="Arial"/>
          <w:iCs/>
        </w:rPr>
        <w:t xml:space="preserve">:    </w:t>
      </w:r>
    </w:p>
    <w:p w:rsidR="004B6183" w:rsidRPr="007F2EBB" w:rsidRDefault="004B6183" w:rsidP="004B6183">
      <w:pPr>
        <w:autoSpaceDE w:val="0"/>
        <w:autoSpaceDN w:val="0"/>
        <w:adjustRightInd w:val="0"/>
        <w:spacing w:before="100" w:after="100"/>
        <w:jc w:val="both"/>
        <w:rPr>
          <w:rFonts w:ascii="Arial" w:hAnsi="Arial" w:cs="Arial"/>
          <w:iCs/>
        </w:rPr>
      </w:pPr>
      <w:r w:rsidRPr="007F2EBB">
        <w:rPr>
          <w:rFonts w:ascii="Arial" w:hAnsi="Arial" w:cs="Arial"/>
          <w:b/>
          <w:iCs/>
        </w:rPr>
        <w:t>Adresi</w:t>
      </w:r>
      <w:r w:rsidRPr="007F2EBB">
        <w:rPr>
          <w:rFonts w:ascii="Arial" w:hAnsi="Arial" w:cs="Arial"/>
          <w:b/>
          <w:iCs/>
        </w:rPr>
        <w:tab/>
      </w:r>
      <w:r w:rsidRPr="007F2EBB">
        <w:rPr>
          <w:rFonts w:ascii="Arial" w:hAnsi="Arial" w:cs="Arial"/>
          <w:b/>
          <w:iCs/>
        </w:rPr>
        <w:tab/>
      </w:r>
      <w:r w:rsidRPr="007F2EBB">
        <w:rPr>
          <w:rFonts w:ascii="Arial" w:hAnsi="Arial" w:cs="Arial"/>
          <w:iCs/>
        </w:rPr>
        <w:t xml:space="preserve">:    </w:t>
      </w:r>
    </w:p>
    <w:p w:rsidR="004B6183" w:rsidRPr="007F2EBB" w:rsidRDefault="0007080E" w:rsidP="004B6183">
      <w:pPr>
        <w:autoSpaceDE w:val="0"/>
        <w:autoSpaceDN w:val="0"/>
        <w:adjustRightInd w:val="0"/>
        <w:spacing w:before="100" w:after="100"/>
        <w:jc w:val="both"/>
        <w:rPr>
          <w:rFonts w:ascii="Arial" w:hAnsi="Arial" w:cs="Arial"/>
        </w:rPr>
      </w:pPr>
      <w:r w:rsidRPr="0007080E">
        <w:rPr>
          <w:rFonts w:ascii="Arial" w:hAnsi="Arial" w:cs="Arial"/>
          <w:b/>
          <w:iCs/>
        </w:rPr>
        <w:t>T.C. No.</w:t>
      </w:r>
      <w:r w:rsidR="004B6183" w:rsidRPr="007F2EBB">
        <w:rPr>
          <w:rFonts w:ascii="Arial" w:hAnsi="Arial" w:cs="Arial"/>
          <w:iCs/>
        </w:rPr>
        <w:tab/>
      </w:r>
      <w:r w:rsidR="004B6183" w:rsidRPr="007F2EBB">
        <w:rPr>
          <w:rFonts w:ascii="Arial" w:hAnsi="Arial" w:cs="Arial"/>
          <w:iCs/>
        </w:rPr>
        <w:tab/>
        <w:t xml:space="preserve">:   </w:t>
      </w:r>
      <w:bookmarkStart w:id="0" w:name="_GoBack"/>
      <w:bookmarkEnd w:id="0"/>
    </w:p>
    <w:p w:rsidR="004B6183" w:rsidRPr="007F2EBB" w:rsidRDefault="004B6183" w:rsidP="004B6183">
      <w:pPr>
        <w:autoSpaceDE w:val="0"/>
        <w:autoSpaceDN w:val="0"/>
        <w:adjustRightInd w:val="0"/>
        <w:spacing w:before="100" w:after="100"/>
        <w:jc w:val="both"/>
        <w:rPr>
          <w:rFonts w:ascii="Arial" w:hAnsi="Arial" w:cs="Arial"/>
        </w:rPr>
      </w:pPr>
      <w:r w:rsidRPr="007F2EBB">
        <w:rPr>
          <w:rFonts w:ascii="Arial" w:hAnsi="Arial" w:cs="Arial"/>
          <w:b/>
          <w:iCs/>
        </w:rPr>
        <w:t>E- Posta &amp; Telefon</w:t>
      </w:r>
      <w:r w:rsidRPr="007F2EBB">
        <w:rPr>
          <w:rFonts w:ascii="Arial" w:hAnsi="Arial" w:cs="Arial"/>
          <w:b/>
          <w:iCs/>
        </w:rPr>
        <w:tab/>
      </w:r>
      <w:r w:rsidRPr="007F2EBB">
        <w:rPr>
          <w:rFonts w:ascii="Arial" w:hAnsi="Arial" w:cs="Arial"/>
          <w:iCs/>
        </w:rPr>
        <w:t xml:space="preserve">:    </w:t>
      </w:r>
    </w:p>
    <w:p w:rsidR="004B6183" w:rsidRPr="007F2EBB" w:rsidRDefault="004B6183" w:rsidP="004B6183">
      <w:pPr>
        <w:autoSpaceDE w:val="0"/>
        <w:autoSpaceDN w:val="0"/>
        <w:adjustRightInd w:val="0"/>
        <w:spacing w:before="100" w:after="100"/>
        <w:jc w:val="both"/>
        <w:rPr>
          <w:rFonts w:ascii="Arial" w:hAnsi="Arial" w:cs="Arial"/>
        </w:rPr>
      </w:pPr>
      <w:r w:rsidRPr="007F2EBB">
        <w:rPr>
          <w:rFonts w:ascii="Arial" w:hAnsi="Arial" w:cs="Arial"/>
          <w:b/>
          <w:iCs/>
        </w:rPr>
        <w:t xml:space="preserve">Şikâyet Edilen </w:t>
      </w:r>
      <w:r w:rsidRPr="007F2EBB">
        <w:rPr>
          <w:rFonts w:ascii="Arial" w:hAnsi="Arial" w:cs="Arial"/>
          <w:b/>
          <w:iCs/>
        </w:rPr>
        <w:tab/>
      </w:r>
      <w:r w:rsidRPr="007F2EBB">
        <w:rPr>
          <w:rFonts w:ascii="Arial" w:hAnsi="Arial" w:cs="Arial"/>
          <w:iCs/>
        </w:rPr>
        <w:t xml:space="preserve">:   </w:t>
      </w:r>
      <w:r w:rsidR="00A67FC4">
        <w:rPr>
          <w:rFonts w:ascii="Arial" w:hAnsi="Arial" w:cs="Arial"/>
          <w:iCs/>
        </w:rPr>
        <w:t xml:space="preserve"> </w:t>
      </w:r>
    </w:p>
    <w:p w:rsidR="004B6183" w:rsidRPr="007F2EBB" w:rsidRDefault="004B6183" w:rsidP="004B6183">
      <w:pPr>
        <w:autoSpaceDE w:val="0"/>
        <w:autoSpaceDN w:val="0"/>
        <w:adjustRightInd w:val="0"/>
        <w:spacing w:before="100" w:after="100"/>
        <w:jc w:val="both"/>
        <w:rPr>
          <w:rFonts w:ascii="Arial" w:hAnsi="Arial" w:cs="Arial"/>
          <w:b/>
          <w:iCs/>
        </w:rPr>
      </w:pPr>
      <w:r w:rsidRPr="007F2EBB">
        <w:rPr>
          <w:rFonts w:ascii="Arial" w:hAnsi="Arial" w:cs="Arial"/>
          <w:b/>
          <w:iCs/>
        </w:rPr>
        <w:t xml:space="preserve">Adresi </w:t>
      </w:r>
      <w:r w:rsidRPr="007F2EBB">
        <w:rPr>
          <w:rFonts w:ascii="Arial" w:hAnsi="Arial" w:cs="Arial"/>
          <w:b/>
          <w:iCs/>
        </w:rPr>
        <w:tab/>
      </w:r>
      <w:r w:rsidRPr="007F2EBB">
        <w:rPr>
          <w:rFonts w:ascii="Arial" w:hAnsi="Arial" w:cs="Arial"/>
          <w:b/>
          <w:iCs/>
        </w:rPr>
        <w:tab/>
      </w:r>
      <w:r w:rsidRPr="007F2EBB">
        <w:rPr>
          <w:rFonts w:ascii="Arial" w:hAnsi="Arial" w:cs="Arial"/>
          <w:iCs/>
        </w:rPr>
        <w:t xml:space="preserve">:   </w:t>
      </w:r>
      <w:r w:rsidR="00A67FC4">
        <w:rPr>
          <w:rStyle w:val="street-address"/>
          <w:rFonts w:ascii="Arial" w:hAnsi="Arial" w:cs="Arial"/>
          <w:iCs/>
          <w:color w:val="000000"/>
          <w:sz w:val="22"/>
          <w:szCs w:val="22"/>
        </w:rPr>
        <w:t xml:space="preserve"> </w:t>
      </w:r>
    </w:p>
    <w:p w:rsidR="004B6183" w:rsidRPr="007F2EBB" w:rsidRDefault="004B6183" w:rsidP="004B6183">
      <w:pPr>
        <w:autoSpaceDE w:val="0"/>
        <w:autoSpaceDN w:val="0"/>
        <w:adjustRightInd w:val="0"/>
        <w:spacing w:before="100" w:after="100"/>
        <w:jc w:val="both"/>
        <w:rPr>
          <w:rFonts w:ascii="Arial" w:hAnsi="Arial" w:cs="Arial"/>
        </w:rPr>
      </w:pPr>
      <w:r w:rsidRPr="007F2EBB">
        <w:rPr>
          <w:rFonts w:ascii="Arial" w:hAnsi="Arial" w:cs="Arial"/>
          <w:b/>
          <w:iCs/>
        </w:rPr>
        <w:t xml:space="preserve">Şikâyetin Parasal </w:t>
      </w:r>
      <w:proofErr w:type="gramStart"/>
      <w:r w:rsidRPr="007F2EBB">
        <w:rPr>
          <w:rFonts w:ascii="Arial" w:hAnsi="Arial" w:cs="Arial"/>
          <w:b/>
          <w:iCs/>
        </w:rPr>
        <w:t>Değeri</w:t>
      </w:r>
      <w:r w:rsidRPr="007F2EBB">
        <w:rPr>
          <w:rFonts w:ascii="Arial" w:hAnsi="Arial" w:cs="Arial"/>
          <w:iCs/>
        </w:rPr>
        <w:t xml:space="preserve"> :</w:t>
      </w:r>
      <w:proofErr w:type="gramEnd"/>
    </w:p>
    <w:p w:rsidR="004B6183" w:rsidRPr="001B30D8" w:rsidRDefault="004B6183" w:rsidP="004B6183">
      <w:pPr>
        <w:autoSpaceDE w:val="0"/>
        <w:autoSpaceDN w:val="0"/>
        <w:adjustRightInd w:val="0"/>
        <w:jc w:val="both"/>
        <w:rPr>
          <w:rFonts w:ascii="TimesNewRomanPSMT" w:hAnsi="TimesNewRomanPSMT" w:cs="TimesNewRomanPSMT"/>
        </w:rPr>
      </w:pPr>
      <w:r w:rsidRPr="00F54050">
        <w:rPr>
          <w:rFonts w:ascii="TimesNewRomanPSMT" w:hAnsi="TimesNewRomanPSMT" w:cs="TimesNewRomanPSMT"/>
          <w:b/>
          <w:u w:val="single"/>
        </w:rPr>
        <w:t>Konusu</w:t>
      </w:r>
      <w:r>
        <w:rPr>
          <w:rFonts w:ascii="TimesNewRomanPSMT" w:hAnsi="TimesNewRomanPSMT" w:cs="TimesNewRomanPSMT"/>
          <w:b/>
          <w:u w:val="single"/>
        </w:rPr>
        <w:tab/>
      </w:r>
      <w:r>
        <w:rPr>
          <w:rFonts w:ascii="TimesNewRomanPSMT" w:hAnsi="TimesNewRomanPSMT" w:cs="TimesNewRomanPSMT"/>
          <w:b/>
          <w:u w:val="single"/>
        </w:rPr>
        <w:tab/>
      </w:r>
      <w:r w:rsidRPr="00F54050">
        <w:rPr>
          <w:rFonts w:ascii="TimesNewRomanPSMT" w:hAnsi="TimesNewRomanPSMT" w:cs="TimesNewRomanPSMT"/>
          <w:b/>
        </w:rPr>
        <w:t>:</w:t>
      </w:r>
      <w:r w:rsidRPr="001B30D8">
        <w:rPr>
          <w:rFonts w:ascii="TimesNewRomanPSMT" w:hAnsi="TimesNewRomanPSMT" w:cs="TimesNewRomanPSMT"/>
        </w:rPr>
        <w:t xml:space="preserve"> Ayıplı Hizmet</w:t>
      </w:r>
    </w:p>
    <w:p w:rsidR="004B6183" w:rsidRDefault="004B6183" w:rsidP="004B6183">
      <w:pPr>
        <w:autoSpaceDE w:val="0"/>
        <w:autoSpaceDN w:val="0"/>
        <w:adjustRightInd w:val="0"/>
        <w:jc w:val="both"/>
        <w:rPr>
          <w:rFonts w:ascii="TimesNewRomanPSMT" w:hAnsi="TimesNewRomanPSMT" w:cs="TimesNewRomanPSMT"/>
          <w:b/>
          <w:u w:val="single"/>
        </w:rPr>
      </w:pPr>
    </w:p>
    <w:p w:rsidR="004B6183" w:rsidRPr="000B1D07" w:rsidRDefault="004B6183" w:rsidP="004B6183">
      <w:pPr>
        <w:autoSpaceDE w:val="0"/>
        <w:autoSpaceDN w:val="0"/>
        <w:adjustRightInd w:val="0"/>
        <w:jc w:val="both"/>
      </w:pPr>
      <w:r w:rsidRPr="000B1D07">
        <w:rPr>
          <w:b/>
          <w:u w:val="single"/>
        </w:rPr>
        <w:t>OLAYLAR</w:t>
      </w:r>
      <w:r w:rsidRPr="000B1D07">
        <w:rPr>
          <w:u w:val="single"/>
        </w:rPr>
        <w:t xml:space="preserve"> </w:t>
      </w:r>
      <w:r w:rsidRPr="000B1D07">
        <w:tab/>
      </w:r>
      <w:r w:rsidRPr="000B1D07">
        <w:tab/>
        <w:t xml:space="preserve">: </w:t>
      </w:r>
      <w:proofErr w:type="gramStart"/>
      <w:r w:rsidR="0007080E">
        <w:t>…………..</w:t>
      </w:r>
      <w:proofErr w:type="gramEnd"/>
      <w:r w:rsidR="00B94FC7" w:rsidRPr="000B1D07">
        <w:t xml:space="preserve"> </w:t>
      </w:r>
      <w:r w:rsidR="007F2EBB" w:rsidRPr="000B1D07">
        <w:t>Bankası  …………………</w:t>
      </w:r>
      <w:r w:rsidRPr="000B1D07">
        <w:t xml:space="preserve"> Şubesinden  …/…/20</w:t>
      </w:r>
      <w:proofErr w:type="gramStart"/>
      <w:r w:rsidRPr="000B1D07">
        <w:t>....</w:t>
      </w:r>
      <w:proofErr w:type="gramEnd"/>
      <w:r w:rsidRPr="000B1D07">
        <w:t xml:space="preserve"> tarihinde </w:t>
      </w:r>
      <w:r w:rsidR="007F2EBB" w:rsidRPr="000B1D07">
        <w:t xml:space="preserve">…………….. liralık </w:t>
      </w:r>
      <w:proofErr w:type="gramStart"/>
      <w:r w:rsidR="007F2EBB" w:rsidRPr="000B1D07">
        <w:t>..…………..</w:t>
      </w:r>
      <w:proofErr w:type="gramEnd"/>
      <w:r w:rsidRPr="000B1D07">
        <w:t xml:space="preserve"> Kredisi kullandım. </w:t>
      </w:r>
    </w:p>
    <w:p w:rsidR="00774DD6" w:rsidRDefault="00936B6D" w:rsidP="004B6183">
      <w:pPr>
        <w:autoSpaceDE w:val="0"/>
        <w:autoSpaceDN w:val="0"/>
        <w:adjustRightInd w:val="0"/>
        <w:ind w:firstLine="708"/>
        <w:jc w:val="both"/>
      </w:pPr>
      <w:proofErr w:type="gramStart"/>
      <w:r>
        <w:t>………………………………………………………………………………………………..</w:t>
      </w:r>
      <w:proofErr w:type="gramEnd"/>
    </w:p>
    <w:p w:rsidR="00936B6D" w:rsidRDefault="00936B6D" w:rsidP="004B6183">
      <w:pPr>
        <w:autoSpaceDE w:val="0"/>
        <w:autoSpaceDN w:val="0"/>
        <w:adjustRightInd w:val="0"/>
        <w:ind w:firstLine="708"/>
        <w:jc w:val="both"/>
      </w:pPr>
    </w:p>
    <w:p w:rsidR="004B6183" w:rsidRPr="00774DD6" w:rsidRDefault="004B6183" w:rsidP="004B6183">
      <w:pPr>
        <w:autoSpaceDE w:val="0"/>
        <w:autoSpaceDN w:val="0"/>
        <w:adjustRightInd w:val="0"/>
        <w:ind w:firstLine="708"/>
        <w:jc w:val="both"/>
      </w:pPr>
      <w:r w:rsidRPr="00774DD6">
        <w:t>Kullandığım kredi için;</w:t>
      </w:r>
    </w:p>
    <w:p w:rsidR="004B6183" w:rsidRPr="00774DD6" w:rsidRDefault="004B6183" w:rsidP="004B6183">
      <w:pPr>
        <w:autoSpaceDE w:val="0"/>
        <w:autoSpaceDN w:val="0"/>
        <w:adjustRightInd w:val="0"/>
        <w:ind w:firstLine="708"/>
        <w:jc w:val="both"/>
      </w:pPr>
      <w:proofErr w:type="gramStart"/>
      <w:r w:rsidRPr="00774DD6">
        <w:t>………………………</w:t>
      </w:r>
      <w:proofErr w:type="gramEnd"/>
      <w:r w:rsidRPr="00774DD6">
        <w:t xml:space="preserve"> </w:t>
      </w:r>
      <w:proofErr w:type="gramStart"/>
      <w:r w:rsidRPr="00774DD6">
        <w:t>lira</w:t>
      </w:r>
      <w:proofErr w:type="gramEnd"/>
      <w:r w:rsidRPr="00774DD6">
        <w:t xml:space="preserve"> Dosya Masrafı (Komisyon ve Masraf Kesintisi)</w:t>
      </w:r>
    </w:p>
    <w:p w:rsidR="004B6183" w:rsidRPr="00774DD6" w:rsidRDefault="004B6183" w:rsidP="004B6183">
      <w:pPr>
        <w:autoSpaceDE w:val="0"/>
        <w:autoSpaceDN w:val="0"/>
        <w:adjustRightInd w:val="0"/>
        <w:ind w:firstLine="708"/>
        <w:jc w:val="both"/>
      </w:pPr>
      <w:proofErr w:type="gramStart"/>
      <w:r w:rsidRPr="00774DD6">
        <w:t>………………………</w:t>
      </w:r>
      <w:proofErr w:type="gramEnd"/>
      <w:r w:rsidRPr="00774DD6">
        <w:t xml:space="preserve"> </w:t>
      </w:r>
      <w:proofErr w:type="gramStart"/>
      <w:r w:rsidRPr="00774DD6">
        <w:t>lira</w:t>
      </w:r>
      <w:proofErr w:type="gramEnd"/>
      <w:r w:rsidRPr="00774DD6">
        <w:t xml:space="preserve"> İstihbarat Ücreti</w:t>
      </w:r>
    </w:p>
    <w:p w:rsidR="004B6183" w:rsidRPr="00774DD6" w:rsidRDefault="004B6183" w:rsidP="004B6183">
      <w:pPr>
        <w:autoSpaceDE w:val="0"/>
        <w:autoSpaceDN w:val="0"/>
        <w:adjustRightInd w:val="0"/>
        <w:ind w:firstLine="708"/>
        <w:jc w:val="both"/>
      </w:pPr>
      <w:proofErr w:type="gramStart"/>
      <w:r w:rsidRPr="00774DD6">
        <w:t>………………………</w:t>
      </w:r>
      <w:proofErr w:type="gramEnd"/>
      <w:r w:rsidRPr="00774DD6">
        <w:t xml:space="preserve"> lira </w:t>
      </w:r>
      <w:proofErr w:type="gramStart"/>
      <w:r w:rsidRPr="00774DD6">
        <w:t>…………</w:t>
      </w:r>
      <w:proofErr w:type="gramEnd"/>
      <w:r w:rsidRPr="00774DD6">
        <w:t>Ücreti.</w:t>
      </w:r>
    </w:p>
    <w:p w:rsidR="004B6183" w:rsidRPr="00774DD6" w:rsidRDefault="004B6183" w:rsidP="004B6183">
      <w:pPr>
        <w:autoSpaceDE w:val="0"/>
        <w:autoSpaceDN w:val="0"/>
        <w:adjustRightInd w:val="0"/>
        <w:ind w:firstLine="708"/>
        <w:jc w:val="both"/>
      </w:pPr>
      <w:proofErr w:type="gramStart"/>
      <w:r w:rsidRPr="00774DD6">
        <w:t>………………………</w:t>
      </w:r>
      <w:proofErr w:type="gramEnd"/>
      <w:r w:rsidRPr="00774DD6">
        <w:t xml:space="preserve"> lira Diğer (</w:t>
      </w:r>
      <w:proofErr w:type="gramStart"/>
      <w:r w:rsidRPr="00774DD6">
        <w:t>…………………………….</w:t>
      </w:r>
      <w:proofErr w:type="gramEnd"/>
      <w:r w:rsidRPr="00774DD6">
        <w:t xml:space="preserve"> ) kesintisi yapılmış olup yapılan kesinti haksız ve hukuksuzdur.</w:t>
      </w:r>
    </w:p>
    <w:p w:rsidR="004B6183" w:rsidRPr="00774DD6" w:rsidRDefault="004B6183" w:rsidP="004B6183">
      <w:pPr>
        <w:autoSpaceDE w:val="0"/>
        <w:autoSpaceDN w:val="0"/>
        <w:adjustRightInd w:val="0"/>
        <w:ind w:firstLine="708"/>
        <w:jc w:val="both"/>
      </w:pPr>
      <w:r w:rsidRPr="00774DD6">
        <w:t>Banka ile imzaladığım sözleşme, Bankaca tek taraflı olarak hazırlanmış standart bir sözleşmedir.</w:t>
      </w:r>
    </w:p>
    <w:p w:rsidR="004B6183" w:rsidRPr="00774DD6" w:rsidRDefault="004B6183" w:rsidP="004B6183">
      <w:pPr>
        <w:autoSpaceDE w:val="0"/>
        <w:autoSpaceDN w:val="0"/>
        <w:adjustRightInd w:val="0"/>
        <w:ind w:firstLine="708"/>
        <w:jc w:val="both"/>
      </w:pPr>
      <w:r w:rsidRPr="00774DD6">
        <w:t>Sözleşmede yukarıda belirtilen ücretlerin alınmasına ilişin açık ve net biçimde bir hüküm bulunmamaktadır.</w:t>
      </w:r>
    </w:p>
    <w:p w:rsidR="004B6183" w:rsidRPr="00774DD6" w:rsidRDefault="004B6183" w:rsidP="004B6183">
      <w:pPr>
        <w:tabs>
          <w:tab w:val="left" w:pos="566"/>
        </w:tabs>
        <w:spacing w:line="240" w:lineRule="exact"/>
        <w:ind w:firstLine="566"/>
        <w:jc w:val="both"/>
      </w:pPr>
      <w:r w:rsidRPr="00774DD6">
        <w:t>6502 sayılı Yasa’nın 5. Maddesinde belirtildiği üzere;  “Haksız şart; tüketiciyle müzakere edilmeden sözleşmeye dâhil edilen ve tarafların sözleşmeden doğan hak ve yükümlülüklerinde dürüstlük kuralına aykırı düşecek biçimde tüketici aleyhine dengesizliğe neden olan sözleşme şartlarıdır</w:t>
      </w:r>
    </w:p>
    <w:p w:rsidR="004B6183" w:rsidRPr="00774DD6" w:rsidRDefault="004B6183" w:rsidP="004B6183">
      <w:pPr>
        <w:tabs>
          <w:tab w:val="left" w:pos="566"/>
        </w:tabs>
        <w:spacing w:line="240" w:lineRule="exact"/>
        <w:ind w:firstLine="566"/>
        <w:jc w:val="both"/>
      </w:pPr>
      <w:r w:rsidRPr="00774DD6">
        <w:rPr>
          <w:b/>
        </w:rPr>
        <w:t>Aynı kanunun Ayıplı hizmet başlıklı 13. Maddesinde ise, “</w:t>
      </w:r>
      <w:r w:rsidRPr="00774DD6">
        <w:t>Ayıplı hizmet, sözleşmede belirlenen süre içinde başlamaması veya taraflarca kararlaştırılmış olan ve objektif olarak sahip olması gereken özellikleri taşımaması nedeniyle sözleşmeye aykırı olan hizmettir. ” denilmektedir.</w:t>
      </w:r>
    </w:p>
    <w:p w:rsidR="004B6183" w:rsidRPr="00774DD6" w:rsidRDefault="004B6183" w:rsidP="00774DD6">
      <w:pPr>
        <w:autoSpaceDE w:val="0"/>
        <w:autoSpaceDN w:val="0"/>
        <w:adjustRightInd w:val="0"/>
        <w:ind w:firstLine="708"/>
        <w:jc w:val="both"/>
      </w:pPr>
      <w:r w:rsidRPr="00774DD6">
        <w:t xml:space="preserve">Yargıtay 13. Hukuk Dairesinin </w:t>
      </w:r>
      <w:proofErr w:type="gramStart"/>
      <w:r w:rsidRPr="00774DD6">
        <w:t>02/05/2008</w:t>
      </w:r>
      <w:proofErr w:type="gramEnd"/>
      <w:r w:rsidRPr="00774DD6">
        <w:t xml:space="preserve"> tarih ve 2008/6088 </w:t>
      </w:r>
      <w:proofErr w:type="spellStart"/>
      <w:r w:rsidRPr="00774DD6">
        <w:t>nolu</w:t>
      </w:r>
      <w:proofErr w:type="spellEnd"/>
      <w:r w:rsidRPr="00774DD6">
        <w:t xml:space="preserve"> kararı da bu yöndedir.</w:t>
      </w:r>
    </w:p>
    <w:p w:rsidR="00774DD6" w:rsidRDefault="004B6183" w:rsidP="00774DD6">
      <w:pPr>
        <w:pStyle w:val="AralkYok"/>
        <w:jc w:val="both"/>
      </w:pPr>
      <w:r w:rsidRPr="00774DD6">
        <w:t xml:space="preserve">Bir Tüketicinin Isparta Tüketici Sorunları Hakem Heyetine yapmış olduğu başvuru üzerine Dosya masrafı ile ilgili “sözleşmede tüketiciden herhangi bir masraf alınacağına dair hüküm bulunmadığı” gerekçesi ile Tüketici lehine verilen kararı, Bankaca yapılan itiraz üzerine, </w:t>
      </w:r>
      <w:r w:rsidRPr="00774DD6">
        <w:rPr>
          <w:bCs/>
        </w:rPr>
        <w:t>Isparta</w:t>
      </w:r>
      <w:r w:rsidRPr="00774DD6">
        <w:t> </w:t>
      </w:r>
      <w:r w:rsidRPr="00774DD6">
        <w:rPr>
          <w:bCs/>
        </w:rPr>
        <w:t xml:space="preserve">1.Asliye Hukuk Mahkemesi’nin  (Tüketici </w:t>
      </w:r>
      <w:proofErr w:type="gramStart"/>
      <w:r w:rsidRPr="00774DD6">
        <w:rPr>
          <w:bCs/>
        </w:rPr>
        <w:t>Mahkemesi  Sıfatıyla</w:t>
      </w:r>
      <w:proofErr w:type="gramEnd"/>
      <w:r w:rsidRPr="00774DD6">
        <w:rPr>
          <w:bCs/>
        </w:rPr>
        <w:t>)   2010</w:t>
      </w:r>
      <w:r w:rsidRPr="00774DD6">
        <w:t>/48 Esas,</w:t>
      </w:r>
      <w:r w:rsidRPr="00774DD6">
        <w:rPr>
          <w:bCs/>
        </w:rPr>
        <w:t xml:space="preserve"> 2010</w:t>
      </w:r>
      <w:r w:rsidRPr="00774DD6">
        <w:t xml:space="preserve">/118 sayılı kararı ile </w:t>
      </w:r>
      <w:proofErr w:type="spellStart"/>
      <w:r w:rsidRPr="00774DD6">
        <w:rPr>
          <w:u w:val="single"/>
        </w:rPr>
        <w:t>red</w:t>
      </w:r>
      <w:proofErr w:type="spellEnd"/>
      <w:r w:rsidRPr="00774DD6">
        <w:t xml:space="preserve"> edilmiş, yapılan itiraz üzerine  de  söz konusu yerel mahkeme kararı  yerinde görülerek Yargıtay 13. Hukuk Dairesi’nin 10/06/2010 tarih ve  2010/48 Esas ve 2010/118 sayılı kararıyla da onanmıştır.</w:t>
      </w:r>
    </w:p>
    <w:p w:rsidR="000B1D07" w:rsidRPr="00936B6D" w:rsidRDefault="000B1D07" w:rsidP="00774DD6">
      <w:pPr>
        <w:pStyle w:val="AralkYok"/>
        <w:ind w:firstLine="708"/>
        <w:jc w:val="both"/>
        <w:rPr>
          <w:lang w:eastAsia="zh-CN"/>
        </w:rPr>
      </w:pPr>
      <w:r w:rsidRPr="00936B6D">
        <w:rPr>
          <w:lang w:eastAsia="zh-CN"/>
        </w:rPr>
        <w:t>Banka</w:t>
      </w:r>
      <w:r w:rsidR="00936B6D">
        <w:rPr>
          <w:lang w:eastAsia="zh-CN"/>
        </w:rPr>
        <w:t>,</w:t>
      </w:r>
      <w:r w:rsidRPr="00936B6D">
        <w:rPr>
          <w:lang w:eastAsia="zh-CN"/>
        </w:rPr>
        <w:t xml:space="preserve"> sözleşmede hüküm bulunsa dahi kredi verdiğinde veya yapılandırma yaptığında ancak haklı, makul ve </w:t>
      </w:r>
      <w:proofErr w:type="spellStart"/>
      <w:r w:rsidRPr="00936B6D">
        <w:rPr>
          <w:lang w:eastAsia="zh-CN"/>
        </w:rPr>
        <w:t>delillendirdiği</w:t>
      </w:r>
      <w:proofErr w:type="spellEnd"/>
      <w:r w:rsidRPr="00936B6D">
        <w:rPr>
          <w:lang w:eastAsia="zh-CN"/>
        </w:rPr>
        <w:t xml:space="preserve"> giderleri talep edebileceği, aksine yapılan uygulamaların haksız şart niteliğinde olacağı ve bu nedenle alınan bedelin iadesi Yargıtay uygulamasına göre haklı bulunmaktadır. (Yargıtay </w:t>
      </w:r>
      <w:r w:rsidRPr="00936B6D">
        <w:rPr>
          <w:rFonts w:eastAsia="Calibri"/>
          <w:lang w:eastAsia="en-US"/>
        </w:rPr>
        <w:t>13 HD,01.03.2013, 2012 /1386 Esas ve 2012/</w:t>
      </w:r>
      <w:proofErr w:type="gramStart"/>
      <w:r w:rsidRPr="00936B6D">
        <w:rPr>
          <w:rFonts w:eastAsia="Calibri"/>
          <w:lang w:eastAsia="en-US"/>
        </w:rPr>
        <w:t xml:space="preserve">5231  </w:t>
      </w:r>
      <w:r w:rsidRPr="00936B6D">
        <w:rPr>
          <w:lang w:eastAsia="zh-CN"/>
        </w:rPr>
        <w:t>sayılı</w:t>
      </w:r>
      <w:proofErr w:type="gramEnd"/>
      <w:r w:rsidRPr="00936B6D">
        <w:rPr>
          <w:lang w:eastAsia="zh-CN"/>
        </w:rPr>
        <w:t xml:space="preserve"> kararı)  </w:t>
      </w:r>
    </w:p>
    <w:p w:rsidR="00936B6D" w:rsidRPr="00936B6D" w:rsidRDefault="00936B6D" w:rsidP="00774DD6">
      <w:pPr>
        <w:autoSpaceDE w:val="0"/>
        <w:autoSpaceDN w:val="0"/>
        <w:adjustRightInd w:val="0"/>
        <w:jc w:val="both"/>
        <w:rPr>
          <w:b/>
        </w:rPr>
      </w:pPr>
    </w:p>
    <w:p w:rsidR="004B6183" w:rsidRPr="000B1D07" w:rsidRDefault="0007080E" w:rsidP="00936B6D">
      <w:pPr>
        <w:autoSpaceDE w:val="0"/>
        <w:autoSpaceDN w:val="0"/>
        <w:adjustRightInd w:val="0"/>
        <w:jc w:val="both"/>
      </w:pPr>
      <w:r>
        <w:rPr>
          <w:b/>
        </w:rPr>
        <w:t>Sonuç v</w:t>
      </w:r>
      <w:r w:rsidR="004B6183" w:rsidRPr="00774DD6">
        <w:rPr>
          <w:b/>
        </w:rPr>
        <w:t>e İstem</w:t>
      </w:r>
      <w:r w:rsidR="004B6183" w:rsidRPr="00774DD6">
        <w:t xml:space="preserve"> : Açıklanan nedenlerle yukarıda ayrıntıları bulunan toplam </w:t>
      </w:r>
      <w:proofErr w:type="gramStart"/>
      <w:r w:rsidR="004B6183" w:rsidRPr="00774DD6">
        <w:t>……………….</w:t>
      </w:r>
      <w:proofErr w:type="gramEnd"/>
      <w:r w:rsidR="004B6183" w:rsidRPr="00774DD6">
        <w:t xml:space="preserve"> </w:t>
      </w:r>
      <w:proofErr w:type="spellStart"/>
      <w:r w:rsidR="004B6183" w:rsidRPr="00774DD6">
        <w:t>nın</w:t>
      </w:r>
      <w:proofErr w:type="spellEnd"/>
      <w:r w:rsidR="004B6183" w:rsidRPr="00774DD6">
        <w:t xml:space="preserve"> tarafıma iade edilmesi kararının verilmesini arz ederim. </w:t>
      </w:r>
      <w:proofErr w:type="gramStart"/>
      <w:r w:rsidR="004B6183" w:rsidRPr="00774DD6">
        <w:t>.....</w:t>
      </w:r>
      <w:proofErr w:type="gramEnd"/>
      <w:r w:rsidR="004B6183" w:rsidRPr="00774DD6">
        <w:t>/…./201..</w:t>
      </w:r>
      <w:r w:rsidR="00936B6D">
        <w:tab/>
      </w:r>
      <w:r w:rsidR="00936B6D">
        <w:tab/>
      </w:r>
      <w:r w:rsidR="00936B6D">
        <w:tab/>
      </w:r>
      <w:r w:rsidR="004B6183" w:rsidRPr="000B1D07">
        <w:tab/>
      </w:r>
      <w:r w:rsidR="004B6183" w:rsidRPr="000B1D07">
        <w:tab/>
      </w:r>
      <w:r w:rsidR="004B6183" w:rsidRPr="000B1D07">
        <w:tab/>
      </w:r>
      <w:r w:rsidR="004B6183" w:rsidRPr="000B1D07">
        <w:tab/>
      </w:r>
      <w:r w:rsidR="004B6183" w:rsidRPr="000B1D07">
        <w:tab/>
      </w:r>
      <w:r w:rsidR="004B6183" w:rsidRPr="000B1D07">
        <w:tab/>
      </w:r>
      <w:r w:rsidR="004B6183" w:rsidRPr="000B1D07">
        <w:tab/>
      </w:r>
      <w:r w:rsidR="004B6183" w:rsidRPr="000B1D07">
        <w:rPr>
          <w:iCs/>
        </w:rPr>
        <w:t xml:space="preserve">  </w:t>
      </w:r>
    </w:p>
    <w:p w:rsidR="004B6183" w:rsidRPr="000B1D07" w:rsidRDefault="004B6183" w:rsidP="004B6183">
      <w:pPr>
        <w:autoSpaceDE w:val="0"/>
        <w:autoSpaceDN w:val="0"/>
        <w:adjustRightInd w:val="0"/>
        <w:jc w:val="both"/>
      </w:pPr>
      <w:r w:rsidRPr="000B1D07">
        <w:t xml:space="preserve">     </w:t>
      </w:r>
      <w:r w:rsidR="004D6A5B">
        <w:t xml:space="preserve"> </w:t>
      </w:r>
      <w:r w:rsidR="004D6A5B">
        <w:tab/>
      </w:r>
      <w:r w:rsidR="004D6A5B">
        <w:tab/>
      </w:r>
      <w:r w:rsidR="004D6A5B">
        <w:tab/>
      </w:r>
      <w:r w:rsidR="004D6A5B">
        <w:tab/>
      </w:r>
      <w:r w:rsidR="004D6A5B">
        <w:tab/>
      </w:r>
      <w:r w:rsidR="004D6A5B">
        <w:tab/>
      </w:r>
      <w:r w:rsidR="004D6A5B">
        <w:tab/>
      </w:r>
      <w:r w:rsidR="004D6A5B">
        <w:tab/>
      </w:r>
      <w:r w:rsidR="004D6A5B">
        <w:tab/>
      </w:r>
      <w:r w:rsidR="004D6A5B">
        <w:tab/>
      </w:r>
      <w:r w:rsidR="004D6A5B">
        <w:tab/>
        <w:t>İmza</w:t>
      </w:r>
    </w:p>
    <w:p w:rsidR="00E20AC6" w:rsidRPr="000B1D07" w:rsidRDefault="00E20AC6"/>
    <w:sectPr w:rsidR="00E20AC6" w:rsidRPr="000B1D07" w:rsidSect="00976155">
      <w:pgSz w:w="11906" w:h="16838"/>
      <w:pgMar w:top="899" w:right="926"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183"/>
    <w:rsid w:val="0007080E"/>
    <w:rsid w:val="000B1D07"/>
    <w:rsid w:val="00237B04"/>
    <w:rsid w:val="004B6183"/>
    <w:rsid w:val="004D6A5B"/>
    <w:rsid w:val="00774DD6"/>
    <w:rsid w:val="007F2EBB"/>
    <w:rsid w:val="00923DC8"/>
    <w:rsid w:val="00936B6D"/>
    <w:rsid w:val="00A67FC4"/>
    <w:rsid w:val="00B703F5"/>
    <w:rsid w:val="00B94FC7"/>
    <w:rsid w:val="00C1442D"/>
    <w:rsid w:val="00CA36C2"/>
    <w:rsid w:val="00E20A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913E9E-CCFC-4B53-8B22-7E2C7585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18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reet-address">
    <w:name w:val="street-address"/>
    <w:basedOn w:val="VarsaylanParagrafYazTipi"/>
    <w:rsid w:val="004B6183"/>
  </w:style>
  <w:style w:type="paragraph" w:styleId="AralkYok">
    <w:name w:val="No Spacing"/>
    <w:uiPriority w:val="1"/>
    <w:qFormat/>
    <w:rsid w:val="00774DD6"/>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satilmis</dc:creator>
  <cp:lastModifiedBy>İSMAİL</cp:lastModifiedBy>
  <cp:revision>2</cp:revision>
  <dcterms:created xsi:type="dcterms:W3CDTF">2014-07-17T12:56:00Z</dcterms:created>
  <dcterms:modified xsi:type="dcterms:W3CDTF">2014-07-17T12:56:00Z</dcterms:modified>
</cp:coreProperties>
</file>